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July 10, 2026
          <w:br/>
        </w:t>
      </w:r>
      <w:hyperlink r:id="rId8" w:history="1">
        <w:r>
          <w:rPr>
            <w:rStyle w:val="TitleLink"/>
          </w:rPr>
          <w:t xml:space="preserve">BC Energy Regulator approves higher-threshold pollution permit for FortisBC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2026-07-03_east_creek_discharge_into_howe_sound_with_labels_01.jpg
          <w:br/>
        </w:t>
      </w:r>
      <w:r>
        <w:rPr/>
        <w:t xml:space="preserve">
          <em>The Woodfibre site on July 3, 2026, showing the discharge point into East Creek, and the highly modified riprap and concrete channel, culverts and pipes which discharge directly into </em>
          Átl’ḵa7tsem / Howe Sound
          <em> 170 metres from the discharge point. Prior to November 2025, tunnel effluent was routed via culvert 2, and has since been redirected via culvert 3. </em>
          <w:br/>
          Credit: My Sea to Sky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news/press-releases/bc-energy-regulator-approves-higher-threshold-pollution-permit-for-fortisbc/" TargetMode="External"/><Relationship Id="rId9" Type="http://schemas.openxmlformats.org/officeDocument/2006/relationships/image" Target="media/section_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2026-07-10 BC Energy Regulator approves higher-threshold pollution permit for FortisBC</dc:title>
  <dc:description/>
  <dc:subject/>
  <cp:keywords/>
  <cp:category/>
  <cp:lastModifiedBy/>
  <dcterms:created xsi:type="dcterms:W3CDTF">2026-09-04T23:42:03-07:00</dcterms:created>
  <dcterms:modified xsi:type="dcterms:W3CDTF">2026-09-04T23:42:03-07:00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